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E8F7" w14:textId="77777777" w:rsidR="00751408" w:rsidRPr="004C7B72" w:rsidRDefault="00751408">
      <w:pPr>
        <w:rPr>
          <w:b/>
          <w:bCs/>
        </w:rPr>
      </w:pPr>
      <w:r w:rsidRPr="004C7B72">
        <w:rPr>
          <w:b/>
          <w:bCs/>
        </w:rPr>
        <w:t>Rectificatie: Kennisgeving te koop komende kavels</w:t>
      </w:r>
    </w:p>
    <w:p w14:paraId="3A011BD4" w14:textId="77777777" w:rsidR="00A5641D" w:rsidRDefault="00751408">
      <w:r w:rsidRPr="004C7B72">
        <w:t>Deze bekendmaking betreft een rectificatie vanwege een foutieve procesbeschrijving</w:t>
      </w:r>
      <w:r w:rsidR="004C7B72" w:rsidRPr="004C7B72">
        <w:t xml:space="preserve">. </w:t>
      </w:r>
      <w:r w:rsidRPr="004C7B72">
        <w:t xml:space="preserve">De oorspronkelijke bekendmaking heeft op 10 augustus 2023 plaats gevonden via de website </w:t>
      </w:r>
      <w:hyperlink r:id="rId7" w:history="1">
        <w:r w:rsidRPr="004C7B72">
          <w:rPr>
            <w:rStyle w:val="Hyperlink"/>
          </w:rPr>
          <w:t>www.borne.nl/kavels-en-panden</w:t>
        </w:r>
      </w:hyperlink>
      <w:r w:rsidRPr="004C7B72">
        <w:t>.</w:t>
      </w:r>
      <w:r w:rsidR="00DE6126">
        <w:t xml:space="preserve"> De betreffende bekendmaking is hieronder opnieuw weergegeven met </w:t>
      </w:r>
      <w:r w:rsidR="00FD337A">
        <w:t xml:space="preserve">daarin </w:t>
      </w:r>
      <w:r w:rsidR="00DE6126">
        <w:t xml:space="preserve">de correcte procesbeschrijving. </w:t>
      </w:r>
      <w:r>
        <w:t xml:space="preserve"> </w:t>
      </w:r>
    </w:p>
    <w:p w14:paraId="57957486" w14:textId="77777777" w:rsidR="008448CD" w:rsidRDefault="008448CD"/>
    <w:p w14:paraId="1BA410B9" w14:textId="77777777" w:rsidR="008448CD" w:rsidRDefault="008448CD" w:rsidP="008448CD">
      <w:pPr>
        <w:rPr>
          <w:b/>
          <w:bCs/>
        </w:rPr>
      </w:pPr>
      <w:r>
        <w:rPr>
          <w:b/>
          <w:bCs/>
        </w:rPr>
        <w:t>Bekendmaking van voornemens ten aanzien van gemeentelijke onroerende zaken.</w:t>
      </w:r>
    </w:p>
    <w:p w14:paraId="00224D19" w14:textId="77777777" w:rsidR="008448CD" w:rsidRDefault="008448CD" w:rsidP="00B0789C">
      <w:pPr>
        <w:jc w:val="both"/>
      </w:pPr>
      <w:r>
        <w:t>De Hoge Raad der Nederlanden heeft op 26 november 2021 het ‘Didam’-arrest gewezen. Dit arrest bevestig</w:t>
      </w:r>
      <w:r w:rsidR="00DC79D4">
        <w:t>t</w:t>
      </w:r>
      <w:r>
        <w:t xml:space="preserve">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3EF45AED" w14:textId="77777777" w:rsidR="008448CD" w:rsidRDefault="008448CD" w:rsidP="008448CD">
      <w:pPr>
        <w:rPr>
          <w:b/>
          <w:bCs/>
        </w:rPr>
      </w:pPr>
    </w:p>
    <w:p w14:paraId="3F50FB55" w14:textId="77777777" w:rsidR="008448CD" w:rsidRDefault="00751408" w:rsidP="008448CD">
      <w:pPr>
        <w:rPr>
          <w:b/>
          <w:bCs/>
        </w:rPr>
      </w:pPr>
      <w:r>
        <w:rPr>
          <w:b/>
          <w:bCs/>
        </w:rPr>
        <w:t>23</w:t>
      </w:r>
      <w:r w:rsidR="00C149FF">
        <w:rPr>
          <w:b/>
          <w:bCs/>
        </w:rPr>
        <w:t xml:space="preserve"> augustus</w:t>
      </w:r>
      <w:r w:rsidR="008448CD">
        <w:rPr>
          <w:b/>
          <w:bCs/>
        </w:rPr>
        <w:t xml:space="preserve"> 2023 kennisgeving te koop komende kavels </w:t>
      </w:r>
    </w:p>
    <w:p w14:paraId="20C6CDD0" w14:textId="77777777" w:rsidR="008448CD" w:rsidRPr="00C36592" w:rsidRDefault="008448CD" w:rsidP="00B0789C">
      <w:pPr>
        <w:jc w:val="both"/>
      </w:pPr>
      <w:r>
        <w:t xml:space="preserve">Het college van burgemeester en wethouders van de gemeente Borne maakt hierbij bekend dat de gemeente Borne met betrekking tot de in de bijgevoegde lijst opgenomen onroerende zaken een koper te zoeken. Voor nadere informatie kan contact worden opgenomen met het Team Vastgoed en Grondzaken van de gemeente via e-mailadres: </w:t>
      </w:r>
      <w:hyperlink r:id="rId8" w:history="1">
        <w:r>
          <w:rPr>
            <w:rStyle w:val="Hyperlink"/>
          </w:rPr>
          <w:t>vastgoed@borne.nl</w:t>
        </w:r>
      </w:hyperlink>
      <w:r>
        <w:t xml:space="preserve"> o.v.v. </w:t>
      </w:r>
      <w:r w:rsidRPr="008448CD">
        <w:rPr>
          <w:b/>
          <w:bCs/>
        </w:rPr>
        <w:t>23int07129</w:t>
      </w:r>
      <w:r w:rsidR="00C36592">
        <w:rPr>
          <w:b/>
          <w:bCs/>
        </w:rPr>
        <w:t xml:space="preserve"> </w:t>
      </w:r>
      <w:r w:rsidR="00C36592">
        <w:t xml:space="preserve">en </w:t>
      </w:r>
      <w:r w:rsidR="00C36592" w:rsidRPr="00C36592">
        <w:rPr>
          <w:b/>
          <w:bCs/>
        </w:rPr>
        <w:t xml:space="preserve">vermelding van </w:t>
      </w:r>
      <w:r w:rsidR="00C36592">
        <w:rPr>
          <w:b/>
          <w:bCs/>
        </w:rPr>
        <w:t>de</w:t>
      </w:r>
      <w:r w:rsidR="00C36592" w:rsidRPr="00C36592">
        <w:rPr>
          <w:b/>
          <w:bCs/>
        </w:rPr>
        <w:t xml:space="preserve"> kavel</w:t>
      </w:r>
      <w:r w:rsidR="00C36592">
        <w:rPr>
          <w:b/>
          <w:bCs/>
        </w:rPr>
        <w:t>letter</w:t>
      </w:r>
      <w:r w:rsidR="00B0789C">
        <w:rPr>
          <w:b/>
          <w:bCs/>
        </w:rPr>
        <w:t>.</w:t>
      </w:r>
    </w:p>
    <w:p w14:paraId="05D2678D" w14:textId="77777777" w:rsidR="008448CD" w:rsidRDefault="008448CD" w:rsidP="008448CD"/>
    <w:p w14:paraId="73DB4E88" w14:textId="77777777" w:rsidR="00C36592" w:rsidRPr="00C36592" w:rsidRDefault="00C36592" w:rsidP="008448CD">
      <w:pPr>
        <w:rPr>
          <w:b/>
          <w:bCs/>
        </w:rPr>
      </w:pPr>
      <w:r w:rsidRPr="00C36592">
        <w:rPr>
          <w:b/>
          <w:bCs/>
        </w:rPr>
        <w:t>Kavels</w:t>
      </w:r>
    </w:p>
    <w:p w14:paraId="3F60AE18" w14:textId="77777777" w:rsidR="00B0789C" w:rsidRDefault="00B0789C" w:rsidP="00B0789C">
      <w:pPr>
        <w:jc w:val="both"/>
      </w:pPr>
      <w:r>
        <w:rPr>
          <w:noProof/>
        </w:rPr>
        <w:drawing>
          <wp:inline distT="0" distB="0" distL="0" distR="0" wp14:anchorId="498E4000" wp14:editId="713A0D79">
            <wp:extent cx="3128821" cy="30765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5060" cy="3141708"/>
                    </a:xfrm>
                    <a:prstGeom prst="rect">
                      <a:avLst/>
                    </a:prstGeom>
                  </pic:spPr>
                </pic:pic>
              </a:graphicData>
            </a:graphic>
          </wp:inline>
        </w:drawing>
      </w:r>
    </w:p>
    <w:p w14:paraId="7B039DC4" w14:textId="77777777" w:rsidR="008448CD" w:rsidRDefault="008448CD" w:rsidP="00B0789C">
      <w:pPr>
        <w:jc w:val="both"/>
      </w:pPr>
      <w:r>
        <w:t>De kavels</w:t>
      </w:r>
      <w:r w:rsidR="00B0789C">
        <w:t xml:space="preserve"> zijn gelegen aan de Braambes en de Wijnbes in het project </w:t>
      </w:r>
      <w:proofErr w:type="spellStart"/>
      <w:r w:rsidR="00B0789C">
        <w:t>Bornsche</w:t>
      </w:r>
      <w:proofErr w:type="spellEnd"/>
      <w:r w:rsidR="00B0789C">
        <w:t xml:space="preserve"> Maten</w:t>
      </w:r>
      <w:r w:rsidR="00AB23C4">
        <w:t xml:space="preserve">, fase </w:t>
      </w:r>
      <w:proofErr w:type="spellStart"/>
      <w:r w:rsidR="00AB23C4">
        <w:t>Eschwonen</w:t>
      </w:r>
      <w:proofErr w:type="spellEnd"/>
      <w:r w:rsidR="00AB23C4">
        <w:t xml:space="preserve"> 3B</w:t>
      </w:r>
      <w:r>
        <w:t>. De gemeente is op basis van onderstaande selectiecriteria op zoek naar kopers voor deze bouwkavels en is voornemens om met deze partij een koopovereenkomst te sluiten.</w:t>
      </w:r>
    </w:p>
    <w:tbl>
      <w:tblPr>
        <w:tblStyle w:val="Tabelraster"/>
        <w:tblW w:w="0" w:type="auto"/>
        <w:tblInd w:w="0" w:type="dxa"/>
        <w:tblLook w:val="04A0" w:firstRow="1" w:lastRow="0" w:firstColumn="1" w:lastColumn="0" w:noHBand="0" w:noVBand="1"/>
      </w:tblPr>
      <w:tblGrid>
        <w:gridCol w:w="2742"/>
        <w:gridCol w:w="2841"/>
        <w:gridCol w:w="2800"/>
      </w:tblGrid>
      <w:tr w:rsidR="008448CD" w14:paraId="6A962316" w14:textId="77777777" w:rsidTr="008448CD">
        <w:trPr>
          <w:trHeight w:val="265"/>
        </w:trPr>
        <w:tc>
          <w:tcPr>
            <w:tcW w:w="2742" w:type="dxa"/>
            <w:tcBorders>
              <w:top w:val="single" w:sz="4" w:space="0" w:color="auto"/>
              <w:left w:val="single" w:sz="4" w:space="0" w:color="auto"/>
              <w:bottom w:val="single" w:sz="4" w:space="0" w:color="auto"/>
              <w:right w:val="single" w:sz="4" w:space="0" w:color="auto"/>
            </w:tcBorders>
            <w:hideMark/>
          </w:tcPr>
          <w:p w14:paraId="54C85A3E"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Kavel</w:t>
            </w:r>
          </w:p>
        </w:tc>
        <w:tc>
          <w:tcPr>
            <w:tcW w:w="2841" w:type="dxa"/>
            <w:tcBorders>
              <w:top w:val="single" w:sz="4" w:space="0" w:color="auto"/>
              <w:left w:val="single" w:sz="4" w:space="0" w:color="auto"/>
              <w:bottom w:val="single" w:sz="4" w:space="0" w:color="auto"/>
              <w:right w:val="single" w:sz="4" w:space="0" w:color="auto"/>
            </w:tcBorders>
            <w:hideMark/>
          </w:tcPr>
          <w:p w14:paraId="253AE80C"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Oppervlakte</w:t>
            </w:r>
          </w:p>
        </w:tc>
        <w:tc>
          <w:tcPr>
            <w:tcW w:w="2800" w:type="dxa"/>
            <w:tcBorders>
              <w:top w:val="single" w:sz="4" w:space="0" w:color="auto"/>
              <w:left w:val="single" w:sz="4" w:space="0" w:color="auto"/>
              <w:bottom w:val="single" w:sz="4" w:space="0" w:color="auto"/>
              <w:right w:val="single" w:sz="4" w:space="0" w:color="auto"/>
            </w:tcBorders>
            <w:hideMark/>
          </w:tcPr>
          <w:p w14:paraId="5FE4E0EF"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Prijs (</w:t>
            </w:r>
            <w:r w:rsidR="001E12A1" w:rsidRPr="006D4BB3">
              <w:rPr>
                <w:rFonts w:ascii="Arial" w:hAnsi="Arial" w:cs="Times New Roman"/>
                <w:w w:val="90"/>
                <w:sz w:val="20"/>
                <w:szCs w:val="20"/>
              </w:rPr>
              <w:t>V.O.N. en inclusief</w:t>
            </w:r>
            <w:r w:rsidRPr="006D4BB3">
              <w:rPr>
                <w:rFonts w:ascii="Arial" w:hAnsi="Arial" w:cs="Times New Roman"/>
                <w:w w:val="90"/>
                <w:sz w:val="20"/>
                <w:szCs w:val="20"/>
              </w:rPr>
              <w:t xml:space="preserve"> BTW)</w:t>
            </w:r>
          </w:p>
        </w:tc>
      </w:tr>
      <w:tr w:rsidR="008448CD" w14:paraId="0E2FABC9" w14:textId="77777777" w:rsidTr="008448CD">
        <w:trPr>
          <w:trHeight w:val="250"/>
        </w:trPr>
        <w:tc>
          <w:tcPr>
            <w:tcW w:w="2742" w:type="dxa"/>
            <w:tcBorders>
              <w:top w:val="single" w:sz="4" w:space="0" w:color="auto"/>
              <w:left w:val="single" w:sz="4" w:space="0" w:color="auto"/>
              <w:bottom w:val="single" w:sz="4" w:space="0" w:color="auto"/>
              <w:right w:val="single" w:sz="4" w:space="0" w:color="auto"/>
            </w:tcBorders>
            <w:hideMark/>
          </w:tcPr>
          <w:p w14:paraId="1CCD0346"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A</w:t>
            </w:r>
          </w:p>
        </w:tc>
        <w:tc>
          <w:tcPr>
            <w:tcW w:w="2841" w:type="dxa"/>
            <w:tcBorders>
              <w:top w:val="single" w:sz="4" w:space="0" w:color="auto"/>
              <w:left w:val="single" w:sz="4" w:space="0" w:color="auto"/>
              <w:bottom w:val="single" w:sz="4" w:space="0" w:color="auto"/>
              <w:right w:val="single" w:sz="4" w:space="0" w:color="auto"/>
            </w:tcBorders>
            <w:hideMark/>
          </w:tcPr>
          <w:p w14:paraId="000346B6"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Circa </w:t>
            </w:r>
            <w:r w:rsidR="001E12A1" w:rsidRPr="006D4BB3">
              <w:rPr>
                <w:rFonts w:ascii="Arial" w:hAnsi="Arial" w:cs="Times New Roman"/>
                <w:w w:val="90"/>
                <w:sz w:val="20"/>
                <w:szCs w:val="20"/>
              </w:rPr>
              <w:t>490</w:t>
            </w:r>
            <w:r w:rsidRPr="006D4BB3">
              <w:rPr>
                <w:rFonts w:ascii="Arial" w:hAnsi="Arial" w:cs="Times New Roman"/>
                <w:w w:val="90"/>
                <w:sz w:val="20"/>
                <w:szCs w:val="20"/>
              </w:rPr>
              <w:t xml:space="preserve"> m2</w:t>
            </w:r>
          </w:p>
        </w:tc>
        <w:tc>
          <w:tcPr>
            <w:tcW w:w="2800" w:type="dxa"/>
            <w:tcBorders>
              <w:top w:val="single" w:sz="4" w:space="0" w:color="auto"/>
              <w:left w:val="single" w:sz="4" w:space="0" w:color="auto"/>
              <w:bottom w:val="single" w:sz="4" w:space="0" w:color="auto"/>
              <w:right w:val="single" w:sz="4" w:space="0" w:color="auto"/>
            </w:tcBorders>
            <w:hideMark/>
          </w:tcPr>
          <w:p w14:paraId="18BC6306"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 </w:t>
            </w:r>
            <w:r w:rsidR="001E12A1" w:rsidRPr="006D4BB3">
              <w:rPr>
                <w:rFonts w:ascii="Arial" w:hAnsi="Arial" w:cs="Times New Roman"/>
                <w:w w:val="90"/>
                <w:sz w:val="20"/>
                <w:szCs w:val="20"/>
              </w:rPr>
              <w:t>275.700</w:t>
            </w:r>
            <w:r w:rsidRPr="006D4BB3">
              <w:rPr>
                <w:rFonts w:ascii="Arial" w:hAnsi="Arial" w:cs="Times New Roman"/>
                <w:w w:val="90"/>
                <w:sz w:val="20"/>
                <w:szCs w:val="20"/>
              </w:rPr>
              <w:t>,-</w:t>
            </w:r>
          </w:p>
        </w:tc>
      </w:tr>
      <w:tr w:rsidR="008448CD" w14:paraId="014BE8E9" w14:textId="77777777" w:rsidTr="008448CD">
        <w:trPr>
          <w:trHeight w:val="265"/>
        </w:trPr>
        <w:tc>
          <w:tcPr>
            <w:tcW w:w="2742" w:type="dxa"/>
            <w:tcBorders>
              <w:top w:val="single" w:sz="4" w:space="0" w:color="auto"/>
              <w:left w:val="single" w:sz="4" w:space="0" w:color="auto"/>
              <w:bottom w:val="single" w:sz="4" w:space="0" w:color="auto"/>
              <w:right w:val="single" w:sz="4" w:space="0" w:color="auto"/>
            </w:tcBorders>
          </w:tcPr>
          <w:p w14:paraId="55DDEDB6"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B</w:t>
            </w:r>
          </w:p>
        </w:tc>
        <w:tc>
          <w:tcPr>
            <w:tcW w:w="2841" w:type="dxa"/>
            <w:tcBorders>
              <w:top w:val="single" w:sz="4" w:space="0" w:color="auto"/>
              <w:left w:val="single" w:sz="4" w:space="0" w:color="auto"/>
              <w:bottom w:val="single" w:sz="4" w:space="0" w:color="auto"/>
              <w:right w:val="single" w:sz="4" w:space="0" w:color="auto"/>
            </w:tcBorders>
          </w:tcPr>
          <w:p w14:paraId="3DF53D57"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Circa </w:t>
            </w:r>
            <w:r w:rsidR="001E12A1" w:rsidRPr="006D4BB3">
              <w:rPr>
                <w:rFonts w:ascii="Arial" w:hAnsi="Arial" w:cs="Times New Roman"/>
                <w:w w:val="90"/>
                <w:sz w:val="20"/>
                <w:szCs w:val="20"/>
              </w:rPr>
              <w:t>621</w:t>
            </w:r>
            <w:r w:rsidRPr="006D4BB3">
              <w:rPr>
                <w:rFonts w:ascii="Arial" w:hAnsi="Arial" w:cs="Times New Roman"/>
                <w:w w:val="90"/>
                <w:sz w:val="20"/>
                <w:szCs w:val="20"/>
              </w:rPr>
              <w:t xml:space="preserve"> m2</w:t>
            </w:r>
          </w:p>
        </w:tc>
        <w:tc>
          <w:tcPr>
            <w:tcW w:w="2800" w:type="dxa"/>
            <w:tcBorders>
              <w:top w:val="single" w:sz="4" w:space="0" w:color="auto"/>
              <w:left w:val="single" w:sz="4" w:space="0" w:color="auto"/>
              <w:bottom w:val="single" w:sz="4" w:space="0" w:color="auto"/>
              <w:right w:val="single" w:sz="4" w:space="0" w:color="auto"/>
            </w:tcBorders>
          </w:tcPr>
          <w:p w14:paraId="043F0914"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 </w:t>
            </w:r>
            <w:r w:rsidR="001E12A1" w:rsidRPr="006D4BB3">
              <w:rPr>
                <w:rFonts w:ascii="Arial" w:hAnsi="Arial" w:cs="Times New Roman"/>
                <w:w w:val="90"/>
                <w:sz w:val="20"/>
                <w:szCs w:val="20"/>
              </w:rPr>
              <w:t>349.410</w:t>
            </w:r>
            <w:r w:rsidRPr="006D4BB3">
              <w:rPr>
                <w:rFonts w:ascii="Arial" w:hAnsi="Arial" w:cs="Times New Roman"/>
                <w:w w:val="90"/>
                <w:sz w:val="20"/>
                <w:szCs w:val="20"/>
              </w:rPr>
              <w:t>,-</w:t>
            </w:r>
          </w:p>
        </w:tc>
      </w:tr>
      <w:tr w:rsidR="008448CD" w14:paraId="48183BF8" w14:textId="77777777" w:rsidTr="008448CD">
        <w:trPr>
          <w:trHeight w:val="250"/>
        </w:trPr>
        <w:tc>
          <w:tcPr>
            <w:tcW w:w="2742" w:type="dxa"/>
            <w:tcBorders>
              <w:top w:val="single" w:sz="4" w:space="0" w:color="auto"/>
              <w:left w:val="single" w:sz="4" w:space="0" w:color="auto"/>
              <w:bottom w:val="single" w:sz="4" w:space="0" w:color="auto"/>
              <w:right w:val="single" w:sz="4" w:space="0" w:color="auto"/>
            </w:tcBorders>
          </w:tcPr>
          <w:p w14:paraId="5832DF4D"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C</w:t>
            </w:r>
          </w:p>
        </w:tc>
        <w:tc>
          <w:tcPr>
            <w:tcW w:w="2841" w:type="dxa"/>
            <w:tcBorders>
              <w:top w:val="single" w:sz="4" w:space="0" w:color="auto"/>
              <w:left w:val="single" w:sz="4" w:space="0" w:color="auto"/>
              <w:bottom w:val="single" w:sz="4" w:space="0" w:color="auto"/>
              <w:right w:val="single" w:sz="4" w:space="0" w:color="auto"/>
            </w:tcBorders>
          </w:tcPr>
          <w:p w14:paraId="32AD70B4"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Circa </w:t>
            </w:r>
            <w:r w:rsidR="001E12A1" w:rsidRPr="006D4BB3">
              <w:rPr>
                <w:rFonts w:ascii="Arial" w:hAnsi="Arial" w:cs="Times New Roman"/>
                <w:w w:val="90"/>
                <w:sz w:val="20"/>
                <w:szCs w:val="20"/>
              </w:rPr>
              <w:t>439</w:t>
            </w:r>
            <w:r w:rsidRPr="006D4BB3">
              <w:rPr>
                <w:rFonts w:ascii="Arial" w:hAnsi="Arial" w:cs="Times New Roman"/>
                <w:w w:val="90"/>
                <w:sz w:val="20"/>
                <w:szCs w:val="20"/>
              </w:rPr>
              <w:t xml:space="preserve"> m2</w:t>
            </w:r>
          </w:p>
        </w:tc>
        <w:tc>
          <w:tcPr>
            <w:tcW w:w="2800" w:type="dxa"/>
            <w:tcBorders>
              <w:top w:val="single" w:sz="4" w:space="0" w:color="auto"/>
              <w:left w:val="single" w:sz="4" w:space="0" w:color="auto"/>
              <w:bottom w:val="single" w:sz="4" w:space="0" w:color="auto"/>
              <w:right w:val="single" w:sz="4" w:space="0" w:color="auto"/>
            </w:tcBorders>
          </w:tcPr>
          <w:p w14:paraId="42C985A1"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 </w:t>
            </w:r>
            <w:r w:rsidR="001E12A1" w:rsidRPr="006D4BB3">
              <w:rPr>
                <w:rFonts w:ascii="Arial" w:hAnsi="Arial" w:cs="Times New Roman"/>
                <w:w w:val="90"/>
                <w:sz w:val="20"/>
                <w:szCs w:val="20"/>
              </w:rPr>
              <w:t>247.005</w:t>
            </w:r>
            <w:r w:rsidRPr="006D4BB3">
              <w:rPr>
                <w:rFonts w:ascii="Arial" w:hAnsi="Arial" w:cs="Times New Roman"/>
                <w:w w:val="90"/>
                <w:sz w:val="20"/>
                <w:szCs w:val="20"/>
              </w:rPr>
              <w:t>,-</w:t>
            </w:r>
          </w:p>
        </w:tc>
      </w:tr>
      <w:tr w:rsidR="008448CD" w14:paraId="682C23A1" w14:textId="77777777" w:rsidTr="008448CD">
        <w:trPr>
          <w:trHeight w:val="265"/>
        </w:trPr>
        <w:tc>
          <w:tcPr>
            <w:tcW w:w="2742" w:type="dxa"/>
            <w:tcBorders>
              <w:top w:val="single" w:sz="4" w:space="0" w:color="auto"/>
              <w:left w:val="single" w:sz="4" w:space="0" w:color="auto"/>
              <w:bottom w:val="single" w:sz="4" w:space="0" w:color="auto"/>
              <w:right w:val="single" w:sz="4" w:space="0" w:color="auto"/>
            </w:tcBorders>
          </w:tcPr>
          <w:p w14:paraId="64C161B3"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D</w:t>
            </w:r>
          </w:p>
        </w:tc>
        <w:tc>
          <w:tcPr>
            <w:tcW w:w="2841" w:type="dxa"/>
            <w:tcBorders>
              <w:top w:val="single" w:sz="4" w:space="0" w:color="auto"/>
              <w:left w:val="single" w:sz="4" w:space="0" w:color="auto"/>
              <w:bottom w:val="single" w:sz="4" w:space="0" w:color="auto"/>
              <w:right w:val="single" w:sz="4" w:space="0" w:color="auto"/>
            </w:tcBorders>
          </w:tcPr>
          <w:p w14:paraId="69CDEA3D"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Circa </w:t>
            </w:r>
            <w:r w:rsidR="001E12A1" w:rsidRPr="006D4BB3">
              <w:rPr>
                <w:rFonts w:ascii="Arial" w:hAnsi="Arial" w:cs="Times New Roman"/>
                <w:w w:val="90"/>
                <w:sz w:val="20"/>
                <w:szCs w:val="20"/>
              </w:rPr>
              <w:t>495</w:t>
            </w:r>
            <w:r w:rsidRPr="006D4BB3">
              <w:rPr>
                <w:rFonts w:ascii="Arial" w:hAnsi="Arial" w:cs="Times New Roman"/>
                <w:w w:val="90"/>
                <w:sz w:val="20"/>
                <w:szCs w:val="20"/>
              </w:rPr>
              <w:t xml:space="preserve"> m2</w:t>
            </w:r>
          </w:p>
        </w:tc>
        <w:tc>
          <w:tcPr>
            <w:tcW w:w="2800" w:type="dxa"/>
            <w:tcBorders>
              <w:top w:val="single" w:sz="4" w:space="0" w:color="auto"/>
              <w:left w:val="single" w:sz="4" w:space="0" w:color="auto"/>
              <w:bottom w:val="single" w:sz="4" w:space="0" w:color="auto"/>
              <w:right w:val="single" w:sz="4" w:space="0" w:color="auto"/>
            </w:tcBorders>
          </w:tcPr>
          <w:p w14:paraId="1BA01AAD"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 </w:t>
            </w:r>
            <w:r w:rsidR="001E12A1" w:rsidRPr="006D4BB3">
              <w:rPr>
                <w:rFonts w:ascii="Arial" w:hAnsi="Arial" w:cs="Times New Roman"/>
                <w:w w:val="90"/>
                <w:sz w:val="20"/>
                <w:szCs w:val="20"/>
              </w:rPr>
              <w:t>278.515</w:t>
            </w:r>
            <w:r w:rsidRPr="006D4BB3">
              <w:rPr>
                <w:rFonts w:ascii="Arial" w:hAnsi="Arial" w:cs="Times New Roman"/>
                <w:w w:val="90"/>
                <w:sz w:val="20"/>
                <w:szCs w:val="20"/>
              </w:rPr>
              <w:t>,-</w:t>
            </w:r>
          </w:p>
        </w:tc>
      </w:tr>
      <w:tr w:rsidR="008448CD" w14:paraId="1EB10E29" w14:textId="77777777" w:rsidTr="008448CD">
        <w:trPr>
          <w:trHeight w:val="250"/>
        </w:trPr>
        <w:tc>
          <w:tcPr>
            <w:tcW w:w="2742" w:type="dxa"/>
            <w:tcBorders>
              <w:top w:val="single" w:sz="4" w:space="0" w:color="auto"/>
              <w:left w:val="single" w:sz="4" w:space="0" w:color="auto"/>
              <w:bottom w:val="single" w:sz="4" w:space="0" w:color="auto"/>
              <w:right w:val="single" w:sz="4" w:space="0" w:color="auto"/>
            </w:tcBorders>
          </w:tcPr>
          <w:p w14:paraId="005FCDF4"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E</w:t>
            </w:r>
          </w:p>
        </w:tc>
        <w:tc>
          <w:tcPr>
            <w:tcW w:w="2841" w:type="dxa"/>
            <w:tcBorders>
              <w:top w:val="single" w:sz="4" w:space="0" w:color="auto"/>
              <w:left w:val="single" w:sz="4" w:space="0" w:color="auto"/>
              <w:bottom w:val="single" w:sz="4" w:space="0" w:color="auto"/>
              <w:right w:val="single" w:sz="4" w:space="0" w:color="auto"/>
            </w:tcBorders>
          </w:tcPr>
          <w:p w14:paraId="766CC3C8"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Circa </w:t>
            </w:r>
            <w:r w:rsidR="001E12A1" w:rsidRPr="006D4BB3">
              <w:rPr>
                <w:rFonts w:ascii="Arial" w:hAnsi="Arial" w:cs="Times New Roman"/>
                <w:w w:val="90"/>
                <w:sz w:val="20"/>
                <w:szCs w:val="20"/>
              </w:rPr>
              <w:t>374</w:t>
            </w:r>
            <w:r w:rsidRPr="006D4BB3">
              <w:rPr>
                <w:rFonts w:ascii="Arial" w:hAnsi="Arial" w:cs="Times New Roman"/>
                <w:w w:val="90"/>
                <w:sz w:val="20"/>
                <w:szCs w:val="20"/>
              </w:rPr>
              <w:t xml:space="preserve"> m2</w:t>
            </w:r>
          </w:p>
        </w:tc>
        <w:tc>
          <w:tcPr>
            <w:tcW w:w="2800" w:type="dxa"/>
            <w:tcBorders>
              <w:top w:val="single" w:sz="4" w:space="0" w:color="auto"/>
              <w:left w:val="single" w:sz="4" w:space="0" w:color="auto"/>
              <w:bottom w:val="single" w:sz="4" w:space="0" w:color="auto"/>
              <w:right w:val="single" w:sz="4" w:space="0" w:color="auto"/>
            </w:tcBorders>
          </w:tcPr>
          <w:p w14:paraId="459FCE10" w14:textId="77777777" w:rsidR="008448CD" w:rsidRPr="006D4BB3" w:rsidRDefault="008448CD">
            <w:pPr>
              <w:rPr>
                <w:rFonts w:ascii="Arial" w:hAnsi="Arial" w:cs="Times New Roman"/>
                <w:w w:val="90"/>
                <w:sz w:val="20"/>
                <w:szCs w:val="20"/>
              </w:rPr>
            </w:pPr>
            <w:r w:rsidRPr="006D4BB3">
              <w:rPr>
                <w:rFonts w:ascii="Arial" w:hAnsi="Arial" w:cs="Times New Roman"/>
                <w:w w:val="90"/>
                <w:sz w:val="20"/>
                <w:szCs w:val="20"/>
              </w:rPr>
              <w:t xml:space="preserve">€ </w:t>
            </w:r>
            <w:r w:rsidR="001E12A1" w:rsidRPr="006D4BB3">
              <w:rPr>
                <w:rFonts w:ascii="Arial" w:hAnsi="Arial" w:cs="Times New Roman"/>
                <w:w w:val="90"/>
                <w:sz w:val="20"/>
                <w:szCs w:val="20"/>
              </w:rPr>
              <w:t>210.435</w:t>
            </w:r>
            <w:r w:rsidRPr="006D4BB3">
              <w:rPr>
                <w:rFonts w:ascii="Arial" w:hAnsi="Arial" w:cs="Times New Roman"/>
                <w:w w:val="90"/>
                <w:sz w:val="20"/>
                <w:szCs w:val="20"/>
              </w:rPr>
              <w:t>,-</w:t>
            </w:r>
          </w:p>
        </w:tc>
      </w:tr>
    </w:tbl>
    <w:p w14:paraId="09790647" w14:textId="77777777" w:rsidR="008448CD" w:rsidRDefault="008448CD" w:rsidP="008448CD">
      <w:pPr>
        <w:rPr>
          <w:rFonts w:asciiTheme="minorHAnsi" w:hAnsiTheme="minorHAnsi" w:cstheme="minorBidi"/>
          <w:sz w:val="22"/>
          <w:szCs w:val="22"/>
        </w:rPr>
      </w:pPr>
    </w:p>
    <w:p w14:paraId="02F27AEF" w14:textId="77777777" w:rsidR="008448CD" w:rsidRDefault="008448CD" w:rsidP="008448CD">
      <w:r>
        <w:t>De selectie zal worden gemaakt op basis van de onderstaande criteria:</w:t>
      </w:r>
    </w:p>
    <w:p w14:paraId="2B62CB96" w14:textId="77777777" w:rsidR="008448CD" w:rsidRDefault="008448CD" w:rsidP="006D4BB3">
      <w:pPr>
        <w:pStyle w:val="Lijstalinea"/>
        <w:numPr>
          <w:ilvl w:val="0"/>
          <w:numId w:val="2"/>
        </w:numPr>
        <w:jc w:val="both"/>
      </w:pPr>
      <w:r>
        <w:t>De geselecteerde koper dient ingeschreven te staan op de lijst met kavel</w:t>
      </w:r>
      <w:r w:rsidR="00AB23C4">
        <w:t>- en nieuwbouwwoning</w:t>
      </w:r>
      <w:r>
        <w:t xml:space="preserve">zoekenden </w:t>
      </w:r>
      <w:r w:rsidR="00AB23C4">
        <w:t xml:space="preserve">kern Borne </w:t>
      </w:r>
      <w:r>
        <w:t>van de gemeente Borne</w:t>
      </w:r>
      <w:r w:rsidR="004C7B72">
        <w:t>.</w:t>
      </w:r>
    </w:p>
    <w:p w14:paraId="08290C25" w14:textId="77777777" w:rsidR="008448CD" w:rsidRDefault="008448CD" w:rsidP="006D4BB3">
      <w:pPr>
        <w:pStyle w:val="Lijstalinea"/>
        <w:numPr>
          <w:ilvl w:val="0"/>
          <w:numId w:val="2"/>
        </w:numPr>
        <w:jc w:val="both"/>
      </w:pPr>
      <w:r>
        <w:t>De geselecteerde koper dient te voldoen aan de oppervlakte en de prijs.</w:t>
      </w:r>
    </w:p>
    <w:p w14:paraId="29C398F8" w14:textId="77777777" w:rsidR="008448CD" w:rsidRDefault="008448CD" w:rsidP="006D4BB3">
      <w:pPr>
        <w:pStyle w:val="Lijstalinea"/>
        <w:numPr>
          <w:ilvl w:val="0"/>
          <w:numId w:val="2"/>
        </w:numPr>
        <w:jc w:val="both"/>
      </w:pPr>
      <w:r>
        <w:t>De geselecteerde koper dient het verkochte in de feitelijke staat te accepteren</w:t>
      </w:r>
      <w:r w:rsidR="001E12A1">
        <w:t>.</w:t>
      </w:r>
    </w:p>
    <w:p w14:paraId="4FD03E68" w14:textId="77777777" w:rsidR="008448CD" w:rsidRDefault="008448CD" w:rsidP="006D4BB3">
      <w:pPr>
        <w:pStyle w:val="Lijstalinea"/>
        <w:numPr>
          <w:ilvl w:val="0"/>
          <w:numId w:val="2"/>
        </w:numPr>
        <w:jc w:val="both"/>
      </w:pPr>
      <w:r>
        <w:t>De geselecteerde koper dient te voldoen aan het bestemmingsplan</w:t>
      </w:r>
      <w:r w:rsidR="001E12A1">
        <w:t xml:space="preserve"> en beeldkwaliteitsplan, </w:t>
      </w:r>
      <w:r>
        <w:t>zoals deze is opgesteld voor deze locatie.</w:t>
      </w:r>
    </w:p>
    <w:p w14:paraId="02F6ED3B" w14:textId="77777777" w:rsidR="00F4062F" w:rsidRPr="00751408" w:rsidRDefault="008448CD" w:rsidP="008448CD">
      <w:r>
        <w:t xml:space="preserve">De gemeente Borne zal </w:t>
      </w:r>
      <w:r>
        <w:rPr>
          <w:b/>
          <w:bCs/>
        </w:rPr>
        <w:t xml:space="preserve">na </w:t>
      </w:r>
      <w:r w:rsidR="00C149FF">
        <w:rPr>
          <w:b/>
          <w:bCs/>
        </w:rPr>
        <w:t>1</w:t>
      </w:r>
      <w:r w:rsidR="00751408">
        <w:rPr>
          <w:b/>
          <w:bCs/>
        </w:rPr>
        <w:t>3</w:t>
      </w:r>
      <w:r w:rsidR="00C149FF">
        <w:rPr>
          <w:b/>
          <w:bCs/>
        </w:rPr>
        <w:t xml:space="preserve"> september</w:t>
      </w:r>
      <w:r>
        <w:rPr>
          <w:b/>
          <w:bCs/>
        </w:rPr>
        <w:t xml:space="preserve"> 2023</w:t>
      </w:r>
      <w:r>
        <w:t xml:space="preserve"> </w:t>
      </w:r>
      <w:r w:rsidR="00F4062F" w:rsidRPr="00751408">
        <w:t xml:space="preserve"> </w:t>
      </w:r>
      <w:r w:rsidRPr="00751408">
        <w:t xml:space="preserve">(21 dagen na deze publicatie) overgaan tot het verkopen van </w:t>
      </w:r>
      <w:r w:rsidR="00F4062F" w:rsidRPr="00751408">
        <w:t xml:space="preserve">de kavels aan geïnteresseerde kandidaten die voldoen aan bovengenoemde criteria. </w:t>
      </w:r>
      <w:r w:rsidR="00F4062F" w:rsidRPr="004C7B72">
        <w:t xml:space="preserve">De toewijzingsprocedure zal verlopen </w:t>
      </w:r>
      <w:r w:rsidR="00751408" w:rsidRPr="004C7B72">
        <w:t>op basis van de lijst met kavel- en nieuwbouwwoningen zoekenden kern Borne, waarbij de datum van inschrijving de volgorde van toewijzing bepaalt.</w:t>
      </w:r>
    </w:p>
    <w:p w14:paraId="55F7B4EB" w14:textId="77777777" w:rsidR="00F4062F" w:rsidRDefault="00F4062F" w:rsidP="008448CD">
      <w:pPr>
        <w:rPr>
          <w:color w:val="FF0000"/>
        </w:rPr>
      </w:pPr>
    </w:p>
    <w:p w14:paraId="1AE475F7" w14:textId="77777777" w:rsidR="008448CD" w:rsidRDefault="008448CD"/>
    <w:sectPr w:rsidR="008448CD" w:rsidSect="005A519B">
      <w:headerReference w:type="default" r:id="rId10"/>
      <w:footerReference w:type="default" r:id="rId11"/>
      <w:pgSz w:w="11906" w:h="16838"/>
      <w:pgMar w:top="2466" w:right="1701" w:bottom="1985"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18DE" w14:textId="77777777" w:rsidR="00135479" w:rsidRDefault="00135479">
      <w:pPr>
        <w:spacing w:line="240" w:lineRule="auto"/>
      </w:pPr>
      <w:r>
        <w:separator/>
      </w:r>
    </w:p>
  </w:endnote>
  <w:endnote w:type="continuationSeparator" w:id="0">
    <w:p w14:paraId="3F259F0E" w14:textId="77777777" w:rsidR="00135479" w:rsidRDefault="00135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1064"/>
      <w:docPartObj>
        <w:docPartGallery w:val="Page Numbers (Bottom of Page)"/>
        <w:docPartUnique/>
      </w:docPartObj>
    </w:sdtPr>
    <w:sdtEndPr/>
    <w:sdtContent>
      <w:p w14:paraId="085D4478" w14:textId="77777777" w:rsidR="00F344B5" w:rsidRDefault="00786B2A">
        <w:pPr>
          <w:pStyle w:val="Voettekst"/>
          <w:jc w:val="right"/>
        </w:pPr>
        <w:r>
          <w:fldChar w:fldCharType="begin"/>
        </w:r>
        <w:r>
          <w:instrText>PAGE   \* MERGEFORMAT</w:instrText>
        </w:r>
        <w:r>
          <w:fldChar w:fldCharType="separate"/>
        </w:r>
        <w:r>
          <w:t>1</w:t>
        </w:r>
        <w:r>
          <w:fldChar w:fldCharType="end"/>
        </w:r>
      </w:p>
    </w:sdtContent>
  </w:sdt>
  <w:p w14:paraId="7D185428" w14:textId="77777777" w:rsidR="007777E9" w:rsidRPr="007777E9" w:rsidRDefault="00135479" w:rsidP="007777E9">
    <w:pPr>
      <w:tabs>
        <w:tab w:val="left" w:pos="915"/>
      </w:tabs>
      <w:spacing w:line="250" w:lineRule="exact"/>
      <w:rPr>
        <w:rFonts w:eastAsia="Times New Roman"/>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1A50" w14:textId="77777777" w:rsidR="00135479" w:rsidRDefault="00135479">
      <w:pPr>
        <w:spacing w:line="240" w:lineRule="auto"/>
      </w:pPr>
      <w:r>
        <w:separator/>
      </w:r>
    </w:p>
  </w:footnote>
  <w:footnote w:type="continuationSeparator" w:id="0">
    <w:p w14:paraId="68EB5D98" w14:textId="77777777" w:rsidR="00135479" w:rsidRDefault="00135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80F4" w14:textId="77777777" w:rsidR="00BC60FF" w:rsidRDefault="00135479" w:rsidP="005A519B">
    <w:pPr>
      <w:tabs>
        <w:tab w:val="center" w:pos="4536"/>
        <w:tab w:val="left" w:pos="6705"/>
      </w:tabs>
      <w:spacing w:line="250" w:lineRule="atLeast"/>
      <w:jc w:val="center"/>
      <w:rPr>
        <w:rFonts w:eastAsia="Times New Roman" w:cs="Arial"/>
        <w:lang w:eastAsia="nl-NL"/>
      </w:rPr>
    </w:pPr>
  </w:p>
  <w:p w14:paraId="75BEF74B" w14:textId="77777777" w:rsidR="006F10CD" w:rsidRPr="000D0F9A" w:rsidRDefault="00786B2A" w:rsidP="005A519B">
    <w:pPr>
      <w:tabs>
        <w:tab w:val="center" w:pos="4536"/>
        <w:tab w:val="left" w:pos="6705"/>
      </w:tabs>
      <w:spacing w:line="250" w:lineRule="atLeast"/>
      <w:jc w:val="center"/>
      <w:rPr>
        <w:rFonts w:eastAsia="Times New Roman" w:cs="Arial"/>
        <w:lang w:eastAsia="nl-NL"/>
      </w:rPr>
    </w:pPr>
    <w:r>
      <w:rPr>
        <w:rFonts w:eastAsia="Times New Roman" w:cs="Arial"/>
        <w:noProof/>
        <w:lang w:eastAsia="nl-NL"/>
      </w:rPr>
      <w:drawing>
        <wp:inline distT="0" distB="0" distL="0" distR="0" wp14:anchorId="4493C279" wp14:editId="73986DDA">
          <wp:extent cx="1857375" cy="1003842"/>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Borne_1kleur_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68" cy="1065829"/>
                  </a:xfrm>
                  <a:prstGeom prst="rect">
                    <a:avLst/>
                  </a:prstGeom>
                </pic:spPr>
              </pic:pic>
            </a:graphicData>
          </a:graphic>
        </wp:inline>
      </w:drawing>
    </w:r>
  </w:p>
  <w:p w14:paraId="3A21E33F" w14:textId="77777777" w:rsidR="009B7BAB" w:rsidRDefault="00135479" w:rsidP="008E13F9">
    <w:pPr>
      <w:spacing w:line="250" w:lineRule="exact"/>
      <w:rPr>
        <w:rFonts w:eastAsia="Times New Roman"/>
        <w:lang w:eastAsia="nl-NL"/>
      </w:rPr>
    </w:pPr>
  </w:p>
  <w:p w14:paraId="4117AA0C" w14:textId="77777777" w:rsidR="009B7BAB" w:rsidRPr="00BA1582" w:rsidRDefault="00135479" w:rsidP="00E10A07">
    <w:pPr>
      <w:spacing w:line="250" w:lineRule="atLeast"/>
      <w:jc w:val="center"/>
      <w:rPr>
        <w:rFonts w:eastAsia="Times New Roman"/>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9941A8B"/>
    <w:multiLevelType w:val="hybridMultilevel"/>
    <w:tmpl w:val="3230C0C2"/>
    <w:lvl w:ilvl="0" w:tplc="26608808">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5337506">
    <w:abstractNumId w:val="0"/>
  </w:num>
  <w:num w:numId="2" w16cid:durableId="82851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8CD"/>
    <w:rsid w:val="00114218"/>
    <w:rsid w:val="001236A7"/>
    <w:rsid w:val="00135479"/>
    <w:rsid w:val="001E12A1"/>
    <w:rsid w:val="00217015"/>
    <w:rsid w:val="002E5DCB"/>
    <w:rsid w:val="002E6FF8"/>
    <w:rsid w:val="00486279"/>
    <w:rsid w:val="004C7B72"/>
    <w:rsid w:val="0055173D"/>
    <w:rsid w:val="006D4BB3"/>
    <w:rsid w:val="00751408"/>
    <w:rsid w:val="00786B2A"/>
    <w:rsid w:val="008448CD"/>
    <w:rsid w:val="0089475E"/>
    <w:rsid w:val="008A17F7"/>
    <w:rsid w:val="00AB23C4"/>
    <w:rsid w:val="00B0789C"/>
    <w:rsid w:val="00C149FF"/>
    <w:rsid w:val="00C36592"/>
    <w:rsid w:val="00DC7537"/>
    <w:rsid w:val="00DC79D4"/>
    <w:rsid w:val="00DE6126"/>
    <w:rsid w:val="00E27367"/>
    <w:rsid w:val="00E67550"/>
    <w:rsid w:val="00F4062F"/>
    <w:rsid w:val="00FD3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CDA2"/>
  <w15:docId w15:val="{AE7AC09F-34FF-45B4-B839-49FFDB3E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w w:val="90"/>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5E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5E37"/>
  </w:style>
  <w:style w:type="paragraph" w:styleId="Voettekst">
    <w:name w:val="footer"/>
    <w:basedOn w:val="Standaard"/>
    <w:link w:val="VoettekstChar"/>
    <w:uiPriority w:val="99"/>
    <w:unhideWhenUsed/>
    <w:rsid w:val="00CC5E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5E37"/>
  </w:style>
  <w:style w:type="character" w:styleId="Hyperlink">
    <w:name w:val="Hyperlink"/>
    <w:basedOn w:val="Standaardalinea-lettertype"/>
    <w:uiPriority w:val="99"/>
    <w:unhideWhenUsed/>
    <w:rsid w:val="008448CD"/>
    <w:rPr>
      <w:color w:val="0563C1" w:themeColor="hyperlink"/>
      <w:u w:val="single"/>
    </w:rPr>
  </w:style>
  <w:style w:type="paragraph" w:styleId="Lijstalinea">
    <w:name w:val="List Paragraph"/>
    <w:basedOn w:val="Standaard"/>
    <w:uiPriority w:val="34"/>
    <w:qFormat/>
    <w:rsid w:val="008448CD"/>
    <w:pPr>
      <w:spacing w:after="160" w:line="256" w:lineRule="auto"/>
      <w:ind w:left="720"/>
      <w:contextualSpacing/>
    </w:pPr>
    <w:rPr>
      <w:rFonts w:asciiTheme="minorHAnsi" w:hAnsiTheme="minorHAnsi" w:cstheme="minorBidi"/>
      <w:w w:val="100"/>
      <w:sz w:val="22"/>
      <w:szCs w:val="22"/>
    </w:rPr>
  </w:style>
  <w:style w:type="table" w:styleId="Tabelraster">
    <w:name w:val="Table Grid"/>
    <w:basedOn w:val="Standaardtabel"/>
    <w:uiPriority w:val="39"/>
    <w:rsid w:val="008448CD"/>
    <w:pPr>
      <w:spacing w:line="240" w:lineRule="auto"/>
    </w:pPr>
    <w:rPr>
      <w:rFonts w:asciiTheme="minorHAnsi" w:hAnsiTheme="minorHAnsi" w:cstheme="minorBidi"/>
      <w:w w:val="1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rsid w:val="00751408"/>
    <w:rPr>
      <w:color w:val="605E5C"/>
      <w:shd w:val="clear" w:color="auto" w:fill="E1DFDD"/>
    </w:rPr>
  </w:style>
  <w:style w:type="paragraph" w:styleId="Revisie">
    <w:name w:val="Revision"/>
    <w:hidden/>
    <w:uiPriority w:val="99"/>
    <w:semiHidden/>
    <w:rsid w:val="00DE612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3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tgoed@born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ne.nl/kavels-en-pand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430</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Borne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Postma, Jelle</dc:creator>
  <cp:lastModifiedBy>Jelle Postma</cp:lastModifiedBy>
  <cp:revision>4</cp:revision>
  <dcterms:created xsi:type="dcterms:W3CDTF">2023-08-22T08:59:00Z</dcterms:created>
  <dcterms:modified xsi:type="dcterms:W3CDTF">2023-08-22T09:33:00Z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c0eaeb0b-3999-cea2-b214-59805882fd19</vt:lpwstr>
  </property>
  <property fmtid="{D5CDD505-2E9C-101B-9397-08002B2CF9AE}" pid="4" name="CORSA_OBJECTTYPE">
    <vt:lpwstr>S</vt:lpwstr>
  </property>
  <property fmtid="{D5CDD505-2E9C-101B-9397-08002B2CF9AE}" pid="5" name="CORSA_OBJECTID">
    <vt:lpwstr>23bij08207</vt:lpwstr>
  </property>
  <property fmtid="{D5CDD505-2E9C-101B-9397-08002B2CF9AE}" pid="6" name="CORSA_VERSION">
    <vt:lpwstr>2</vt:lpwstr>
  </property>
</Properties>
</file>