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B4BBA" w14:textId="77777777" w:rsidR="00A04FFD" w:rsidRPr="005B0B0D" w:rsidRDefault="00A04FFD" w:rsidP="00A04FFD">
      <w:pPr>
        <w:jc w:val="both"/>
        <w:rPr>
          <w:b/>
          <w:bCs/>
        </w:rPr>
      </w:pPr>
      <w:r w:rsidRPr="005B0B0D">
        <w:rPr>
          <w:b/>
          <w:bCs/>
        </w:rPr>
        <w:t>Bekendmaking van voornemens ten aanzien van gemeentelijke onroerende zaken.</w:t>
      </w:r>
    </w:p>
    <w:p w14:paraId="29751AE1" w14:textId="0E7438F2" w:rsidR="00A04FFD" w:rsidRPr="009E4A15" w:rsidRDefault="00A04FFD" w:rsidP="00A04FFD">
      <w:pPr>
        <w:jc w:val="both"/>
      </w:pPr>
      <w:r>
        <w:t>De Hoge Raad der Nederlanden heeft op 26 november 2021 het ‘Didam’-arrest gewezen. Dit arrest bevestig</w:t>
      </w:r>
      <w:r w:rsidR="00FF5BDF">
        <w:t>t</w:t>
      </w:r>
      <w:r>
        <w:t xml:space="preserve"> dat uit het gelijkheidsbeginsel voortvloeit dat een gemeente, die voornemens is een aan hem toebehorende onroerende zaak te verkopen, ruimte moet bieden aan (potentiële) gegadigden om mee te dingen naar deze onroerende zaak</w:t>
      </w:r>
      <w:r w:rsidR="00FF5BDF">
        <w:t xml:space="preserve"> i</w:t>
      </w:r>
      <w:r>
        <w:t>ndien er meer gegadigden zijn voor de aankoop van de desbetreffende onroerende zaak of redelijkerwijs te verwachten is dat er meerdere gegadigden zullen zijn</w:t>
      </w:r>
      <w:r w:rsidRPr="009E4A15">
        <w:t xml:space="preserve">. </w:t>
      </w:r>
    </w:p>
    <w:p w14:paraId="0C94EA54" w14:textId="0740A76C" w:rsidR="00A04FFD" w:rsidRPr="009E4A15" w:rsidRDefault="00D16487" w:rsidP="00A04FFD">
      <w:pPr>
        <w:jc w:val="both"/>
        <w:rPr>
          <w:b/>
          <w:bCs/>
        </w:rPr>
      </w:pPr>
      <w:r w:rsidRPr="009E4A15">
        <w:rPr>
          <w:b/>
          <w:bCs/>
        </w:rPr>
        <w:t>18 maart 2024</w:t>
      </w:r>
      <w:r w:rsidR="00A04FFD" w:rsidRPr="009E4A15">
        <w:rPr>
          <w:b/>
          <w:bCs/>
        </w:rPr>
        <w:t xml:space="preserve"> kennisgeving voorgenomen </w:t>
      </w:r>
      <w:r w:rsidRPr="009E4A15">
        <w:rPr>
          <w:b/>
          <w:bCs/>
        </w:rPr>
        <w:t>Koop-/R</w:t>
      </w:r>
      <w:r w:rsidR="00A04FFD" w:rsidRPr="009E4A15">
        <w:rPr>
          <w:b/>
          <w:bCs/>
        </w:rPr>
        <w:t>uilovereenkomst</w:t>
      </w:r>
    </w:p>
    <w:p w14:paraId="47EE6205" w14:textId="76B570F5" w:rsidR="00A04FFD" w:rsidRDefault="00A04FFD" w:rsidP="00A04FFD">
      <w:pPr>
        <w:jc w:val="both"/>
      </w:pPr>
      <w:r w:rsidRPr="009E4A15">
        <w:t>Het college van burgemeester en wethouders van de gemeente Borne maakt hierbij bekend dat de gemeente Borne (hierna</w:t>
      </w:r>
      <w:r>
        <w:t xml:space="preserve"> te noemen gemeente) met betrekking tot hieronder genoemde onroerende zaken voornemens is een </w:t>
      </w:r>
      <w:r w:rsidR="00CF0144">
        <w:t>Koop-/R</w:t>
      </w:r>
      <w:r>
        <w:t xml:space="preserve">uilovereenkomst aan te gaan. </w:t>
      </w:r>
    </w:p>
    <w:p w14:paraId="1F333AED" w14:textId="41FE45B8" w:rsidR="00A04FFD" w:rsidRDefault="00A04FFD" w:rsidP="00A04FFD">
      <w:pPr>
        <w:jc w:val="both"/>
      </w:pPr>
      <w:r>
        <w:t xml:space="preserve">De gemeente verkoopt aan </w:t>
      </w:r>
      <w:r w:rsidR="005644B9">
        <w:t xml:space="preserve">een particulier </w:t>
      </w:r>
      <w:r w:rsidR="0093714E">
        <w:t xml:space="preserve">gedeelte van </w:t>
      </w:r>
      <w:r w:rsidR="005644B9">
        <w:t>het perceel</w:t>
      </w:r>
      <w:r w:rsidR="0093714E">
        <w:t>, kadastraal bekend als:</w:t>
      </w:r>
    </w:p>
    <w:tbl>
      <w:tblPr>
        <w:tblStyle w:val="Tabelraster"/>
        <w:tblW w:w="0" w:type="auto"/>
        <w:tblLook w:val="04A0" w:firstRow="1" w:lastRow="0" w:firstColumn="1" w:lastColumn="0" w:noHBand="0" w:noVBand="1"/>
      </w:tblPr>
      <w:tblGrid>
        <w:gridCol w:w="2265"/>
        <w:gridCol w:w="2265"/>
        <w:gridCol w:w="2266"/>
      </w:tblGrid>
      <w:tr w:rsidR="00143483" w14:paraId="14594AB1" w14:textId="77777777" w:rsidTr="00BC3ADC">
        <w:tc>
          <w:tcPr>
            <w:tcW w:w="2265" w:type="dxa"/>
          </w:tcPr>
          <w:p w14:paraId="1E00BA97" w14:textId="77777777" w:rsidR="00143483" w:rsidRDefault="00143483" w:rsidP="00BC3ADC">
            <w:pPr>
              <w:jc w:val="both"/>
            </w:pPr>
            <w:r>
              <w:t>Naam locatie</w:t>
            </w:r>
          </w:p>
        </w:tc>
        <w:tc>
          <w:tcPr>
            <w:tcW w:w="2265" w:type="dxa"/>
          </w:tcPr>
          <w:p w14:paraId="1D02E4E9" w14:textId="77777777" w:rsidR="00143483" w:rsidRDefault="00143483" w:rsidP="00BC3ADC">
            <w:pPr>
              <w:jc w:val="both"/>
            </w:pPr>
            <w:r>
              <w:t>Kadastraal nummer</w:t>
            </w:r>
          </w:p>
        </w:tc>
        <w:tc>
          <w:tcPr>
            <w:tcW w:w="2266" w:type="dxa"/>
          </w:tcPr>
          <w:p w14:paraId="13147F03" w14:textId="77777777" w:rsidR="00143483" w:rsidRDefault="00143483" w:rsidP="00BC3ADC">
            <w:pPr>
              <w:jc w:val="both"/>
            </w:pPr>
            <w:r>
              <w:t>Oppervlakte</w:t>
            </w:r>
          </w:p>
        </w:tc>
      </w:tr>
      <w:tr w:rsidR="00143483" w14:paraId="559777D7" w14:textId="77777777" w:rsidTr="00BC3ADC">
        <w:tc>
          <w:tcPr>
            <w:tcW w:w="2265" w:type="dxa"/>
          </w:tcPr>
          <w:p w14:paraId="40932F68" w14:textId="77777777" w:rsidR="00143483" w:rsidRDefault="00143483" w:rsidP="00BC3ADC">
            <w:pPr>
              <w:jc w:val="both"/>
            </w:pPr>
            <w:r>
              <w:t>Borne</w:t>
            </w:r>
          </w:p>
        </w:tc>
        <w:tc>
          <w:tcPr>
            <w:tcW w:w="2265" w:type="dxa"/>
          </w:tcPr>
          <w:p w14:paraId="0C5F431F" w14:textId="77777777" w:rsidR="00143483" w:rsidRDefault="00143483" w:rsidP="00BC3ADC">
            <w:pPr>
              <w:jc w:val="both"/>
            </w:pPr>
            <w:r>
              <w:t xml:space="preserve">Sectie </w:t>
            </w:r>
            <w:r w:rsidR="005644B9">
              <w:t>D</w:t>
            </w:r>
            <w:r>
              <w:t xml:space="preserve"> met nummer</w:t>
            </w:r>
          </w:p>
          <w:p w14:paraId="1D60A67A" w14:textId="31EBEA8D" w:rsidR="005644B9" w:rsidRDefault="005644B9" w:rsidP="00BC3ADC">
            <w:pPr>
              <w:jc w:val="both"/>
            </w:pPr>
            <w:r>
              <w:t>6232</w:t>
            </w:r>
          </w:p>
        </w:tc>
        <w:tc>
          <w:tcPr>
            <w:tcW w:w="2266" w:type="dxa"/>
          </w:tcPr>
          <w:p w14:paraId="1FDF539D" w14:textId="34825CDD" w:rsidR="00143483" w:rsidRDefault="005644B9" w:rsidP="00BC3ADC">
            <w:pPr>
              <w:jc w:val="both"/>
            </w:pPr>
            <w:r>
              <w:t>ca. 1161</w:t>
            </w:r>
            <w:r w:rsidR="00143483">
              <w:t xml:space="preserve"> m</w:t>
            </w:r>
            <w:r w:rsidR="00143483">
              <w:rPr>
                <w:rFonts w:cstheme="minorHAnsi"/>
              </w:rPr>
              <w:t>²</w:t>
            </w:r>
          </w:p>
        </w:tc>
      </w:tr>
    </w:tbl>
    <w:p w14:paraId="2E08ADCF" w14:textId="77777777" w:rsidR="00143483" w:rsidRDefault="00143483" w:rsidP="00A04FFD">
      <w:pPr>
        <w:jc w:val="both"/>
      </w:pPr>
    </w:p>
    <w:p w14:paraId="31A72ABA" w14:textId="1B343F96" w:rsidR="00143483" w:rsidRDefault="00A04FFD" w:rsidP="00A04FFD">
      <w:pPr>
        <w:jc w:val="both"/>
      </w:pPr>
      <w:r>
        <w:t>De</w:t>
      </w:r>
      <w:r w:rsidR="005644B9">
        <w:t>ze</w:t>
      </w:r>
      <w:r>
        <w:t xml:space="preserve"> </w:t>
      </w:r>
      <w:r w:rsidR="005644B9">
        <w:t>particulier</w:t>
      </w:r>
      <w:r>
        <w:t xml:space="preserve"> verkoopt aan de gemeente</w:t>
      </w:r>
      <w:r w:rsidR="0093714E">
        <w:t xml:space="preserve"> </w:t>
      </w:r>
      <w:r w:rsidR="005644B9">
        <w:t>de</w:t>
      </w:r>
      <w:r w:rsidR="0093714E">
        <w:t xml:space="preserve"> percelen, kadastraal bekend als:</w:t>
      </w:r>
    </w:p>
    <w:tbl>
      <w:tblPr>
        <w:tblStyle w:val="Tabelraster"/>
        <w:tblW w:w="0" w:type="auto"/>
        <w:tblLook w:val="04A0" w:firstRow="1" w:lastRow="0" w:firstColumn="1" w:lastColumn="0" w:noHBand="0" w:noVBand="1"/>
      </w:tblPr>
      <w:tblGrid>
        <w:gridCol w:w="2265"/>
        <w:gridCol w:w="2265"/>
        <w:gridCol w:w="2266"/>
      </w:tblGrid>
      <w:tr w:rsidR="00143483" w14:paraId="0353D3D8" w14:textId="77777777" w:rsidTr="00BC3ADC">
        <w:tc>
          <w:tcPr>
            <w:tcW w:w="2265" w:type="dxa"/>
          </w:tcPr>
          <w:p w14:paraId="63F1B4F5" w14:textId="77777777" w:rsidR="00143483" w:rsidRDefault="00143483" w:rsidP="00BC3ADC">
            <w:pPr>
              <w:jc w:val="both"/>
            </w:pPr>
            <w:r>
              <w:t>Naam locatie</w:t>
            </w:r>
          </w:p>
        </w:tc>
        <w:tc>
          <w:tcPr>
            <w:tcW w:w="2265" w:type="dxa"/>
          </w:tcPr>
          <w:p w14:paraId="4AB80DF2" w14:textId="77777777" w:rsidR="00143483" w:rsidRDefault="00143483" w:rsidP="00BC3ADC">
            <w:pPr>
              <w:jc w:val="both"/>
            </w:pPr>
            <w:r>
              <w:t>Kadastraal nummer</w:t>
            </w:r>
          </w:p>
        </w:tc>
        <w:tc>
          <w:tcPr>
            <w:tcW w:w="2266" w:type="dxa"/>
          </w:tcPr>
          <w:p w14:paraId="11FBC8D2" w14:textId="77777777" w:rsidR="00143483" w:rsidRDefault="00143483" w:rsidP="00BC3ADC">
            <w:pPr>
              <w:jc w:val="both"/>
            </w:pPr>
            <w:r>
              <w:t>Oppervlakte</w:t>
            </w:r>
          </w:p>
        </w:tc>
      </w:tr>
      <w:tr w:rsidR="00143483" w14:paraId="568B5D61" w14:textId="77777777" w:rsidTr="00BC3ADC">
        <w:tc>
          <w:tcPr>
            <w:tcW w:w="2265" w:type="dxa"/>
          </w:tcPr>
          <w:p w14:paraId="41F2B7BF" w14:textId="77777777" w:rsidR="00143483" w:rsidRDefault="00143483" w:rsidP="00BC3ADC">
            <w:pPr>
              <w:jc w:val="both"/>
            </w:pPr>
            <w:r>
              <w:t>Borne</w:t>
            </w:r>
          </w:p>
        </w:tc>
        <w:tc>
          <w:tcPr>
            <w:tcW w:w="2265" w:type="dxa"/>
          </w:tcPr>
          <w:p w14:paraId="177FEFA9" w14:textId="79A90009" w:rsidR="00143483" w:rsidRDefault="00143483" w:rsidP="00BC3ADC">
            <w:pPr>
              <w:jc w:val="both"/>
            </w:pPr>
            <w:r>
              <w:t xml:space="preserve">Sectie </w:t>
            </w:r>
            <w:r w:rsidR="005644B9">
              <w:t>E</w:t>
            </w:r>
            <w:r>
              <w:t xml:space="preserve"> met nummers </w:t>
            </w:r>
            <w:r w:rsidR="005644B9">
              <w:t>5112 en 5113</w:t>
            </w:r>
          </w:p>
        </w:tc>
        <w:tc>
          <w:tcPr>
            <w:tcW w:w="2266" w:type="dxa"/>
          </w:tcPr>
          <w:p w14:paraId="2219E5A3" w14:textId="65360DB5" w:rsidR="00143483" w:rsidRDefault="005644B9" w:rsidP="00BC3ADC">
            <w:pPr>
              <w:jc w:val="both"/>
            </w:pPr>
            <w:r>
              <w:t>ca. 1021</w:t>
            </w:r>
            <w:r w:rsidR="00143483">
              <w:t xml:space="preserve"> m</w:t>
            </w:r>
            <w:r w:rsidR="00143483">
              <w:rPr>
                <w:rFonts w:cstheme="minorHAnsi"/>
              </w:rPr>
              <w:t>²</w:t>
            </w:r>
          </w:p>
        </w:tc>
      </w:tr>
    </w:tbl>
    <w:p w14:paraId="204A7831" w14:textId="77777777" w:rsidR="00143483" w:rsidRDefault="00143483" w:rsidP="00A04FFD">
      <w:pPr>
        <w:jc w:val="both"/>
      </w:pPr>
    </w:p>
    <w:p w14:paraId="4C777772" w14:textId="4A785B64" w:rsidR="00A04FFD" w:rsidRDefault="008C7D40" w:rsidP="00A04FFD">
      <w:pPr>
        <w:jc w:val="both"/>
      </w:pPr>
      <w:r>
        <w:t xml:space="preserve">Als gevolg van de toekomstige aanleg van de spooronderdoorgang aan de </w:t>
      </w:r>
      <w:proofErr w:type="spellStart"/>
      <w:r>
        <w:t>Oonksweg</w:t>
      </w:r>
      <w:proofErr w:type="spellEnd"/>
      <w:r>
        <w:t xml:space="preserve"> te Borne is onder andere de aankoop door de gemeente</w:t>
      </w:r>
      <w:r w:rsidR="008A2FC1">
        <w:t xml:space="preserve"> </w:t>
      </w:r>
      <w:r>
        <w:t>van de percelen kadastraal bekend Borne sectie E met nummers 5112 en 5113</w:t>
      </w:r>
      <w:r w:rsidR="00CF6FFC">
        <w:t>, welke in eigendom toebehoren aan de betreffende particulier,</w:t>
      </w:r>
      <w:r>
        <w:t xml:space="preserve"> noodzakelijk</w:t>
      </w:r>
      <w:r w:rsidR="00857269">
        <w:t xml:space="preserve"> voor het creëren van een ontsluiting</w:t>
      </w:r>
      <w:r>
        <w:t xml:space="preserve">. </w:t>
      </w:r>
      <w:r w:rsidRPr="008C7D40">
        <w:t xml:space="preserve">Met deze transactie is onlosmakelijk verbonden dat </w:t>
      </w:r>
      <w:r>
        <w:t>de</w:t>
      </w:r>
      <w:r w:rsidR="00E073B5">
        <w:t>ze</w:t>
      </w:r>
      <w:r>
        <w:t xml:space="preserve"> particulier</w:t>
      </w:r>
      <w:r w:rsidRPr="008C7D40">
        <w:t xml:space="preserve"> daarmee in de gelegenheid wordt gesteld om </w:t>
      </w:r>
      <w:r>
        <w:t xml:space="preserve">het gedeelte van het perceel, kadastraal bekend als Borne Sectie D met nummer 6232, van de gemeente aan </w:t>
      </w:r>
      <w:r w:rsidRPr="008C7D40">
        <w:t>te kopen</w:t>
      </w:r>
      <w:r>
        <w:t xml:space="preserve">, omdat de particulier immers als gevolg van de </w:t>
      </w:r>
      <w:r w:rsidR="002C58A5">
        <w:t xml:space="preserve">aankoop </w:t>
      </w:r>
      <w:r>
        <w:t xml:space="preserve">van zijn percelen </w:t>
      </w:r>
      <w:r w:rsidR="002C58A5">
        <w:t xml:space="preserve">door de gemeente </w:t>
      </w:r>
      <w:r>
        <w:t xml:space="preserve">moet uitwijken naar een andere locatie. </w:t>
      </w:r>
    </w:p>
    <w:p w14:paraId="2AD835B9" w14:textId="2D536B00" w:rsidR="005222B9" w:rsidRDefault="005222B9" w:rsidP="00A04FFD">
      <w:pPr>
        <w:jc w:val="both"/>
      </w:pPr>
      <w:r w:rsidRPr="005222B9">
        <w:t xml:space="preserve">Uit </w:t>
      </w:r>
      <w:r>
        <w:t>het hiervoor genoemde</w:t>
      </w:r>
      <w:r w:rsidRPr="005222B9">
        <w:t xml:space="preserve"> vloeit voort dat deze particulier als enige serieuze gegadigde </w:t>
      </w:r>
      <w:proofErr w:type="spellStart"/>
      <w:r>
        <w:t>wijker</w:t>
      </w:r>
      <w:proofErr w:type="spellEnd"/>
      <w:r>
        <w:t xml:space="preserve"> </w:t>
      </w:r>
      <w:r w:rsidRPr="005222B9">
        <w:t>dient te worden aangemerkt om de voorgenomen koop-/ruil mee aan te gaan</w:t>
      </w:r>
      <w:r>
        <w:t xml:space="preserve"> en daarmee in dit plan een bevoorrechte positie heeft</w:t>
      </w:r>
      <w:r w:rsidRPr="005222B9">
        <w:t>. Ten overvloede wijst de gemeente Borne er</w:t>
      </w:r>
      <w:r>
        <w:t xml:space="preserve"> </w:t>
      </w:r>
      <w:r w:rsidRPr="005222B9">
        <w:t>op dat haar een ruime mate van beleidsvrijheid toekomt bij de selectie van de partij aan wie zij de grond wil verkopen. Tegen de plannen voor verkoop kan volgens de Algemene wet bestuursrecht geen bezwaar worden gemaakt.  </w:t>
      </w:r>
    </w:p>
    <w:p w14:paraId="3C596DF7" w14:textId="6C85642E" w:rsidR="005222B9" w:rsidRPr="005222B9" w:rsidRDefault="00A04FFD" w:rsidP="005222B9">
      <w:pPr>
        <w:jc w:val="both"/>
      </w:pPr>
      <w:r>
        <w:t xml:space="preserve">De gemeente zal </w:t>
      </w:r>
      <w:r w:rsidRPr="00D95F91">
        <w:t xml:space="preserve">na </w:t>
      </w:r>
      <w:r w:rsidR="008C7D40" w:rsidRPr="00D95F91">
        <w:t>8 april 2024</w:t>
      </w:r>
      <w:r w:rsidRPr="00D95F91">
        <w:t xml:space="preserve"> (21 </w:t>
      </w:r>
      <w:r w:rsidR="005222B9" w:rsidRPr="00D95F91">
        <w:t>kalender</w:t>
      </w:r>
      <w:r w:rsidRPr="00D95F91">
        <w:t>dagen na deze publicatie) overgaan</w:t>
      </w:r>
      <w:r>
        <w:t xml:space="preserve"> tot het verkopen van het onroerend goed, </w:t>
      </w:r>
      <w:r w:rsidR="005222B9" w:rsidRPr="005222B9">
        <w:t xml:space="preserve">tenzij voordien door een belanghebbende een kort gedingprocedure </w:t>
      </w:r>
      <w:r w:rsidR="005222B9">
        <w:t xml:space="preserve">is aangespannen </w:t>
      </w:r>
      <w:r w:rsidR="005222B9" w:rsidRPr="005222B9">
        <w:t xml:space="preserve">bij de </w:t>
      </w:r>
      <w:r w:rsidR="005222B9">
        <w:t>rechtbank Overijssel</w:t>
      </w:r>
      <w:r w:rsidR="005222B9" w:rsidRPr="005222B9">
        <w:t>. Als u een kort geding aanspant, vragen wij u ons dit binnen 2</w:t>
      </w:r>
      <w:r w:rsidR="005222B9">
        <w:t>1</w:t>
      </w:r>
      <w:r w:rsidR="005222B9" w:rsidRPr="005222B9">
        <w:t xml:space="preserve"> kalenderdagen na datum van deze bekendmaking te laten weten. W</w:t>
      </w:r>
      <w:r w:rsidR="00D95F91">
        <w:t>ij</w:t>
      </w:r>
      <w:r w:rsidR="005222B9" w:rsidRPr="005222B9">
        <w:t xml:space="preserve"> ontvangen het liefst</w:t>
      </w:r>
      <w:r w:rsidR="005222B9">
        <w:t>e</w:t>
      </w:r>
      <w:r w:rsidR="005222B9" w:rsidRPr="005222B9">
        <w:t xml:space="preserve"> een conceptdagvaarding per e-mail: </w:t>
      </w:r>
      <w:hyperlink r:id="rId7" w:history="1">
        <w:r w:rsidR="005222B9" w:rsidRPr="005222B9">
          <w:rPr>
            <w:rStyle w:val="Hyperlink"/>
          </w:rPr>
          <w:t>info@borne.nl</w:t>
        </w:r>
      </w:hyperlink>
      <w:r w:rsidR="005222B9" w:rsidRPr="005222B9">
        <w:t>.</w:t>
      </w:r>
      <w:r w:rsidR="005222B9">
        <w:t xml:space="preserve"> </w:t>
      </w:r>
      <w:r w:rsidR="005222B9" w:rsidRPr="005222B9">
        <w:t xml:space="preserve">o.v.v. </w:t>
      </w:r>
      <w:r w:rsidR="005222B9">
        <w:t xml:space="preserve">Koop-/Ruilovereenkomst </w:t>
      </w:r>
      <w:proofErr w:type="spellStart"/>
      <w:r w:rsidR="005222B9">
        <w:t>Oonksweg</w:t>
      </w:r>
      <w:proofErr w:type="spellEnd"/>
      <w:r w:rsidR="005222B9" w:rsidRPr="005222B9">
        <w:t xml:space="preserve">. </w:t>
      </w:r>
    </w:p>
    <w:p w14:paraId="2B36FD2D" w14:textId="347F3D0D" w:rsidR="005222B9" w:rsidRDefault="005222B9" w:rsidP="00A04FFD">
      <w:pPr>
        <w:jc w:val="both"/>
      </w:pPr>
      <w:r w:rsidRPr="005222B9">
        <w:t xml:space="preserve">Bij gebreke van het tijdig aanhangig maken van een kort geding vervalt het recht tegen al het voornoemde in rechte op te komen en/of daarop enige vordering tot schadevergoeding of welke andere aanspraak dan ook te baseren, althans heeft u uw rechten daarop verwerkt. De gemeente en de </w:t>
      </w:r>
      <w:r>
        <w:t>particulier</w:t>
      </w:r>
      <w:r w:rsidRPr="005222B9">
        <w:t xml:space="preserve"> zouden immers onredelijk worden benadeeld indien pas na deze (duidelijk kenbaar </w:t>
      </w:r>
      <w:r w:rsidRPr="005222B9">
        <w:lastRenderedPageBreak/>
        <w:t>gemaakte) termijn alsnog tegen het voornemen respectievelijk het aangaan van de overeenkomst zou worden opgekomen.</w:t>
      </w:r>
    </w:p>
    <w:p w14:paraId="035E5722" w14:textId="3A3E1EDD" w:rsidR="001E48CE" w:rsidRDefault="00A04FFD" w:rsidP="00A04FFD">
      <w:r>
        <w:t xml:space="preserve">Voor nadere informatie kan contact worden opgenomen met het Team Vastgoed en Grondzaken van de gemeente via e-mailadres: </w:t>
      </w:r>
      <w:hyperlink r:id="rId8" w:history="1">
        <w:r w:rsidRPr="003910F9">
          <w:t>info@borne.nl</w:t>
        </w:r>
      </w:hyperlink>
      <w:r>
        <w:t xml:space="preserve"> o.v.v.</w:t>
      </w:r>
      <w:r w:rsidR="00143483">
        <w:t xml:space="preserve"> </w:t>
      </w:r>
      <w:r w:rsidR="008C7D40">
        <w:t>Koop-/R</w:t>
      </w:r>
      <w:r w:rsidR="00143483">
        <w:t>uilovereenkomst</w:t>
      </w:r>
      <w:r w:rsidR="008C7D40">
        <w:t xml:space="preserve"> </w:t>
      </w:r>
      <w:proofErr w:type="spellStart"/>
      <w:r w:rsidR="008C7D40">
        <w:t>Oonksweg</w:t>
      </w:r>
      <w:proofErr w:type="spellEnd"/>
      <w:r w:rsidR="00143483">
        <w:t>.</w:t>
      </w:r>
    </w:p>
    <w:sectPr w:rsidR="001E48C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0B37A" w14:textId="77777777" w:rsidR="0081543D" w:rsidRDefault="0081543D" w:rsidP="008C7D40">
      <w:pPr>
        <w:spacing w:after="0" w:line="240" w:lineRule="auto"/>
      </w:pPr>
      <w:r>
        <w:separator/>
      </w:r>
    </w:p>
  </w:endnote>
  <w:endnote w:type="continuationSeparator" w:id="0">
    <w:p w14:paraId="3DCD54E6" w14:textId="77777777" w:rsidR="0081543D" w:rsidRDefault="0081543D" w:rsidP="008C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0D52" w14:textId="77777777" w:rsidR="008C7D40" w:rsidRDefault="008C7D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8A" w14:textId="77777777" w:rsidR="008C7D40" w:rsidRDefault="008C7D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7249" w14:textId="77777777" w:rsidR="008C7D40" w:rsidRDefault="008C7D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02211" w14:textId="77777777" w:rsidR="0081543D" w:rsidRDefault="0081543D" w:rsidP="008C7D40">
      <w:pPr>
        <w:spacing w:after="0" w:line="240" w:lineRule="auto"/>
      </w:pPr>
      <w:r>
        <w:separator/>
      </w:r>
    </w:p>
  </w:footnote>
  <w:footnote w:type="continuationSeparator" w:id="0">
    <w:p w14:paraId="71A1349A" w14:textId="77777777" w:rsidR="0081543D" w:rsidRDefault="0081543D" w:rsidP="008C7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6A99" w14:textId="77777777" w:rsidR="008C7D40" w:rsidRDefault="008C7D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B8E7" w14:textId="5447F2E2" w:rsidR="008C7D40" w:rsidRDefault="008C7D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2C0E7" w14:textId="77777777" w:rsidR="008C7D40" w:rsidRDefault="008C7D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227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FD"/>
    <w:rsid w:val="0002614F"/>
    <w:rsid w:val="00056160"/>
    <w:rsid w:val="0007739D"/>
    <w:rsid w:val="00081023"/>
    <w:rsid w:val="00143483"/>
    <w:rsid w:val="001E48CE"/>
    <w:rsid w:val="00205097"/>
    <w:rsid w:val="002162B8"/>
    <w:rsid w:val="00222BA5"/>
    <w:rsid w:val="00232246"/>
    <w:rsid w:val="00235861"/>
    <w:rsid w:val="002C58A5"/>
    <w:rsid w:val="00345511"/>
    <w:rsid w:val="003910F9"/>
    <w:rsid w:val="0039311D"/>
    <w:rsid w:val="005222B9"/>
    <w:rsid w:val="005644B9"/>
    <w:rsid w:val="007370B8"/>
    <w:rsid w:val="00763799"/>
    <w:rsid w:val="0081543D"/>
    <w:rsid w:val="00857269"/>
    <w:rsid w:val="008A2FC1"/>
    <w:rsid w:val="008C7D40"/>
    <w:rsid w:val="0093714E"/>
    <w:rsid w:val="009E4A15"/>
    <w:rsid w:val="00A04FFD"/>
    <w:rsid w:val="00B56856"/>
    <w:rsid w:val="00BB50C9"/>
    <w:rsid w:val="00CF0144"/>
    <w:rsid w:val="00CF5980"/>
    <w:rsid w:val="00CF6FFC"/>
    <w:rsid w:val="00D16487"/>
    <w:rsid w:val="00D95F91"/>
    <w:rsid w:val="00E073B5"/>
    <w:rsid w:val="00E37632"/>
    <w:rsid w:val="00E552BE"/>
    <w:rsid w:val="00F5019A"/>
    <w:rsid w:val="00FF5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A6B3"/>
  <w15:chartTrackingRefBased/>
  <w15:docId w15:val="{F3E2178E-C48C-47B5-ACCA-2445F1CE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FF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04FFD"/>
    <w:rPr>
      <w:color w:val="0563C1" w:themeColor="hyperlink"/>
      <w:u w:val="single"/>
    </w:rPr>
  </w:style>
  <w:style w:type="table" w:styleId="Tabelraster">
    <w:name w:val="Table Grid"/>
    <w:basedOn w:val="Standaardtabel"/>
    <w:uiPriority w:val="39"/>
    <w:rsid w:val="00A04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04FFD"/>
    <w:pPr>
      <w:ind w:left="720"/>
      <w:contextualSpacing/>
    </w:pPr>
  </w:style>
  <w:style w:type="character" w:styleId="Onopgelostemelding">
    <w:name w:val="Unresolved Mention"/>
    <w:basedOn w:val="Standaardalinea-lettertype"/>
    <w:uiPriority w:val="99"/>
    <w:semiHidden/>
    <w:unhideWhenUsed/>
    <w:rsid w:val="00A04FFD"/>
    <w:rPr>
      <w:color w:val="605E5C"/>
      <w:shd w:val="clear" w:color="auto" w:fill="E1DFDD"/>
    </w:rPr>
  </w:style>
  <w:style w:type="paragraph" w:styleId="Koptekst">
    <w:name w:val="header"/>
    <w:basedOn w:val="Standaard"/>
    <w:link w:val="KoptekstChar"/>
    <w:uiPriority w:val="99"/>
    <w:unhideWhenUsed/>
    <w:rsid w:val="008C7D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7D40"/>
  </w:style>
  <w:style w:type="paragraph" w:styleId="Voettekst">
    <w:name w:val="footer"/>
    <w:basedOn w:val="Standaard"/>
    <w:link w:val="VoettekstChar"/>
    <w:uiPriority w:val="99"/>
    <w:unhideWhenUsed/>
    <w:rsid w:val="008C7D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7D40"/>
  </w:style>
  <w:style w:type="paragraph" w:styleId="Revisie">
    <w:name w:val="Revision"/>
    <w:hidden/>
    <w:uiPriority w:val="99"/>
    <w:semiHidden/>
    <w:rsid w:val="005222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60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rne.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borne.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3047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Renske Wennink - Uiterwijk</cp:lastModifiedBy>
  <cp:revision>2</cp:revision>
  <cp:lastPrinted>2024-03-18T10:40:00Z</cp:lastPrinted>
  <dcterms:created xsi:type="dcterms:W3CDTF">2024-03-18T10:56:00Z</dcterms:created>
  <dcterms:modified xsi:type="dcterms:W3CDTF">2024-03-18T10:56:00Z</dcterms:modified>
</cp:coreProperties>
</file>